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phenyl (2E)-2-(4-{2-[4-(butan-2-yl)phenoxy]ethoxy}-3-methoxybenzylidene)-7-methyl-3-oxo-5-phenyl-2,3-dihydro-5H-[1,3]thiazolo[3,2-a]pyrimidine-6-carboxylate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phenyl (2E)-2-(4-{2-[4-(butan-2-yl)phenoxy]ethoxy}-3-methoxybenzylidene)-7-methyl-3-oxo-5-phenyl-2,3-dihydro-5H-[1,3]thiazolo[3,2-a]pyrimidine-6-carboxylate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C40H38N2O6S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674.82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