
<file path=[Content_Types].xml><?xml version="1.0" encoding="utf-8"?>
<Types xmlns="http://schemas.openxmlformats.org/package/2006/content-types">
  <Default Extension="fntdata" ContentType="application/x-fontdata"/>
  <Default Extension="jpeg" ContentType="image/jpeg"/>
  <Default Extension="png" ContentType="image/png"/>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fontTable.xml" ContentType="application/vnd.openxmlformats-officedocument.wordprocessingml.fontTable+xml"/>
  <Override PartName="/word/settings.xml" ContentType="application/vnd.openxmlformats-officedocument.wordprocessingml.settings+xml"/>
  <Override PartName="/word/theme/theme1.xml" ContentType="application/vnd.openxmlformats-officedocument.theme+xml"/>
</Types>
</file>

<file path=_rels/.rels><?xml version="1.0" encoding="UTF-8"?>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
</Relationships>
</file>

<file path=word/document.xml><?xml version="1.0" encoding="utf-8"?>
<w:document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pic="http://schemas.openxmlformats.org/drawingml/2006/picture"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body>
    <w:p>
      <w:pPr>
        <w:pStyle w:val="BodyText"/>
        <w:bidi w:val="0"/>
        <w:ind w:hanging="0" w:start="0" w:end="0"/>
        <w:jc w:val="start"/>
        <w:rPr>
          <w:rFonts w:ascii="Calibri;sans-serif" w:hAnsi="Calibri;sans-serif"/>
          <w:sz w:val="48"/>
        </w:rPr>
      </w:pPr>
      <w:r>
        <w:rPr>
          <w:rFonts w:ascii="Calibri;sans-serif" w:hAnsi="Calibri;sans-serif"/>
          <w:sz w:val="48"/>
        </w:rPr>
        <w:t>Safety Data Sheet (Draft)</w:t>
      </w:r>
    </w:p>
    <w:p>
      <w:pPr>
        <w:pStyle w:val="BodyTextMsoNormal"/>
        <w:bidi w:val="0"/>
        <w:ind w:hanging="0" w:start="0" w:end="0"/>
        <w:jc w:val="start"/>
        <w:rPr/>
      </w:pPr>
      <w:r>
        <w:rPr>
          <w:rFonts w:ascii="Calibri;sans-serif" w:hAnsi="Calibri;sans-serif"/>
        </w:rPr>
        <w:br/>
      </w:r>
      <w:r>
        <w:rPr>
          <w:rStyle w:val="Strong"/>
          <w:rFonts w:ascii="Calibri;sans-serif" w:hAnsi="Calibri;sans-serif"/>
        </w:rPr>
        <w:t>1. Identification of the substance and  company</w:t>
      </w:r>
    </w:p>
    <w:p>
      <w:pPr>
        <w:pStyle w:val="BodyTextMsoNormal"/>
        <w:bidi w:val="0"/>
        <w:ind w:hanging="0" w:start="0" w:end="0"/>
        <w:jc w:val="start"/>
        <w:rPr>
          <w:rFonts w:ascii="Calibri;sans-serif" w:hAnsi="Calibri;sans-serif"/>
        </w:rPr>
      </w:pPr>
      <w:r>
        <w:rPr>
          <w:rFonts w:ascii="Calibri;sans-serif" w:hAnsi="Calibri;sans-serif"/>
        </w:rPr>
        <w:br/>
        <w:t>1.1.</w:t>
      </w:r>
    </w:p>
    <w:tbl>
      <w:tblPr>
        <w:tblW w:w="9266" w:type="dxa"/>
        <w:jc w:val="start"/>
        <w:tblInd w:w="0" w:type="dxa"/>
        <w:tblLayout w:type="fixed"/>
        <w:tblCellMar>
          <w:top w:w="28" w:type="dxa"/>
          <w:start w:w="28" w:type="dxa"/>
          <w:bottom w:w="28" w:type="dxa"/>
          <w:end w:w="28" w:type="dxa"/>
        </w:tblCellMar>
      </w:tblPr>
      <w:tblGrid>
        <w:gridCol w:w="1858"/>
        <w:gridCol w:w="7408"/>
      </w:tblGrid>
      <w:tr>
        <w:trPr/>
        <w:tc>
          <w:tcPr>
            <w:tcW w:w="1858" w:type="dxa"/>
            <w:tcBorders>
              <w:top w:val="single" w:sz="2" w:space="0" w:color="000000"/>
              <w:start w:val="single" w:sz="2" w:space="0" w:color="000000"/>
              <w:bottom w:val="single" w:sz="2" w:space="0" w:color="000000"/>
            </w:tcBorders>
            <w:vAlign w:val="center"/>
          </w:tcPr>
          <w:p>
            <w:pPr>
              <w:pStyle w:val="BodyTextMsoNormal"/>
              <w:bidi w:val="0"/>
              <w:spacing w:before="0" w:after="140"/>
              <w:ind w:hanging="0" w:start="0" w:end="0"/>
              <w:jc w:val="center"/>
              <w:rPr>
                <w:rFonts w:ascii="Calibri;sans-serif" w:hAnsi="Calibri;sans-serif"/>
                <w:b/>
                <w:bCs w:val="false"/>
                <w:i w:val="false"/>
                <w:iCs w:val="false"/>
                <w:sz w:val="24"/>
                <w:szCs w:val="24"/>
              </w:rPr>
            </w:pPr>
            <w:r>
              <w:rPr>
                <w:rFonts w:ascii="Calibri;sans-serif" w:hAnsi="Calibri;sans-serif"/>
                <w:b/>
                <w:bCs w:val="false"/>
                <w:iCs w:val="false"/>
                <w:szCs w:val="24"/>
              </w:rPr>
              <w:t>Product identifier</w:t>
            </w:r>
          </w:p>
        </w:tc>
        <w:tc>
          <w:tcPr>
            <w:tcW w:w="7408" w:type="dxa"/>
            <w:tcBorders>
              <w:top w:val="single" w:sz="2" w:space="0" w:color="000000"/>
              <w:start w:val="single" w:sz="2" w:space="0" w:color="000000"/>
              <w:bottom w:val="single" w:sz="2" w:space="0" w:color="000000"/>
              <w:end w:val="single" w:sz="2" w:space="0" w:color="000000"/>
            </w:tcBorders>
            <w:vAlign w:val="center"/>
          </w:tcPr>
          <w:p>
            <w:pPr>
              <w:pStyle w:val="BodyTextMsoNormal"/>
              <w:bidi w:val="0"/>
              <w:spacing w:before="0" w:after="140"/>
              <w:ind w:hanging="0" w:start="0" w:end="0"/>
              <w:jc w:val="center"/>
              <w:rPr>
                <w:rFonts w:ascii="Calibri;sans-serif" w:hAnsi="Calibri;sans-serif"/>
                <w:b/>
                <w:bCs w:val="false"/>
                <w:i w:val="false"/>
                <w:iCs w:val="false"/>
                <w:sz w:val="24"/>
                <w:szCs w:val="24"/>
              </w:rPr>
            </w:pPr>
            <w:r>
              <w:rPr>
                <w:rFonts w:ascii="Calibri;sans-serif" w:hAnsi="Calibri;sans-serif"/>
                <w:b/>
                <w:bCs w:val="false"/>
                <w:iCs w:val="false"/>
                <w:szCs w:val="24"/>
              </w:rPr>
              <w:t>Substance name</w:t>
            </w:r>
          </w:p>
        </w:tc>
      </w:tr>
      <w:tr>
        <w:trPr/>
        <w:tc>
          <w:tcPr>
            <w:tcW w:w="1858" w:type="dxa"/>
            <w:tcBorders>
              <w:start w:val="single" w:sz="2" w:space="0" w:color="000000"/>
              <w:bottom w:val="single" w:sz="2" w:space="0" w:color="000000"/>
            </w:tcBorders>
            <w:vAlign w:val="center"/>
          </w:tcPr>
          <w:p>
            <w:pPr>
              <w:pStyle w:val="BodyTextMsoNormal"/>
              <w:bidi w:val="0"/>
              <w:spacing w:before="0" w:after="140"/>
              <w:ind w:hanging="0" w:start="0" w:end="0"/>
              <w:jc w:val="start"/>
              <w:rPr>
                <w:rFonts w:ascii="Calibri;sans-serif" w:hAnsi="Calibri;sans-serif"/>
                <w:b w:val="false"/>
                <w:bCs w:val="false"/>
                <w:i w:val="false"/>
                <w:iCs w:val="false"/>
                <w:sz w:val="24"/>
                <w:szCs w:val="24"/>
                <w:highlight w:val="none"/>
              </w:rPr>
            </w:pPr>
            <w:r>
              <w:rPr>
                <w:rFonts w:ascii="Calibri;sans-serif" w:hAnsi="Calibri;sans-serif"/>
                <w:bCs w:val="false"/>
                <w:iCs w:val="false"/>
                <w:szCs w:val="24"/>
              </w:rPr>
              <w:t xml:space="preserve">STK044293</w:t>
            </w:r>
          </w:p>
        </w:tc>
        <w:tc>
          <w:tcPr>
            <w:tcW w:w="7408" w:type="dxa"/>
            <w:tcBorders>
              <w:start w:val="single" w:sz="2" w:space="0" w:color="000000"/>
              <w:bottom w:val="single" w:sz="2" w:space="0" w:color="000000"/>
              <w:end w:val="single" w:sz="2" w:space="0" w:color="000000"/>
            </w:tcBorders>
            <w:vAlign w:val="center"/>
          </w:tcPr>
          <w:p>
            <w:pPr>
              <w:pStyle w:val="BodyTextMsoNormal"/>
              <w:bidi w:val="0"/>
              <w:spacing w:before="0" w:after="140"/>
              <w:ind w:hanging="0" w:start="0" w:end="0"/>
              <w:jc w:val="start"/>
              <w:rPr>
                <w:rFonts w:ascii="Calibri;sans-serif" w:hAnsi="Calibri;sans-serif"/>
                <w:b w:val="false"/>
                <w:bCs w:val="false"/>
                <w:i w:val="false"/>
                <w:iCs w:val="false"/>
                <w:sz w:val="24"/>
                <w:szCs w:val="24"/>
                <w:highlight w:val="none"/>
              </w:rPr>
            </w:pPr>
            <w:r>
              <w:rPr>
                <w:rFonts w:ascii="Calibri;sans-serif" w:hAnsi="Calibri;sans-serif"/>
                <w:bCs w:val="false"/>
                <w:iCs w:val="false"/>
                <w:szCs w:val="24"/>
              </w:rPr>
              <w:t xml:space="preserve">(2E)-2-cyano-2-{2-[4-(2,3-dihydro-1H-indol-1-ylsulfonyl)phenyl]hydrazinylidene}ethanamide</w:t>
            </w:r>
          </w:p>
        </w:tc>
      </w:tr>
    </w:tbl>
    <w:p>
      <w:pPr>
        <w:pStyle w:val="BodyTextMsoNormal"/>
        <w:bidi w:val="0"/>
        <w:ind w:hanging="0" w:start="0" w:end="0"/>
        <w:jc w:val="start"/>
        <w:rPr/>
      </w:pPr>
      <w:r>
        <w:rPr/>
        <w:t> </w:t>
      </w:r>
    </w:p>
    <w:p>
      <w:pPr>
        <w:pStyle w:val="BodyTextMsoNormal"/>
        <w:bidi w:val="0"/>
        <w:ind w:hanging="0" w:start="0" w:end="0"/>
        <w:jc w:val="start"/>
        <w:rPr>
          <w:rFonts w:ascii="Calibri;sans-serif" w:hAnsi="Calibri;sans-serif"/>
        </w:rPr>
      </w:pPr>
      <w:r>
        <w:rPr>
          <w:rFonts w:ascii="Calibri;sans-serif" w:hAnsi="Calibri;sans-serif"/>
        </w:rPr>
        <w:t>CAS No.: N/A</w:t>
        <w:br/>
        <w:t>Index No: N/A</w:t>
        <w:br/>
        <w:t>EC No: N/A</w:t>
      </w:r>
    </w:p>
    <w:p>
      <w:pPr>
        <w:pStyle w:val="BodyTextMsoNormal"/>
        <w:bidi w:val="0"/>
        <w:ind w:hanging="0" w:start="0" w:end="0"/>
        <w:jc w:val="start"/>
        <w:rPr>
          <w:rFonts w:ascii="Calibri;sans-serif" w:hAnsi="Calibri;sans-serif"/>
        </w:rPr>
      </w:pPr>
      <w:r>
        <w:rPr>
          <w:rFonts w:ascii="Calibri;sans-serif" w:hAnsi="Calibri;sans-serif"/>
        </w:rPr>
        <w:t>REACH No: Registration number for this substance is not available. The substance is exempted from registration as the annual tonnage does not require a registration.</w:t>
      </w:r>
    </w:p>
    <w:p>
      <w:pPr>
        <w:pStyle w:val="BodyTextMsoNormal"/>
        <w:bidi w:val="0"/>
        <w:ind w:hanging="0" w:start="0" w:end="0"/>
        <w:jc w:val="start"/>
        <w:rPr>
          <w:rFonts w:ascii="Calibri;sans-serif" w:hAnsi="Calibri;sans-serif"/>
        </w:rPr>
      </w:pPr>
      <w:r>
        <w:rPr>
          <w:rFonts w:ascii="Calibri;sans-serif" w:hAnsi="Calibri;sans-serif"/>
        </w:rPr>
        <w:t>1.2. Relevant identified uses of the substance.</w:t>
        <w:br/>
        <w:t>Laboratory chemicals, Research and Development use only.</w:t>
      </w:r>
    </w:p>
    <w:p>
      <w:pPr>
        <w:pStyle w:val="BodyTextMsoNormal"/>
        <w:bidi w:val="0"/>
        <w:ind w:hanging="0" w:start="0" w:end="0"/>
        <w:jc w:val="start"/>
        <w:rPr/>
      </w:pPr>
      <w:r>
        <w:rPr>
          <w:rFonts w:ascii="Calibri;sans-serif" w:hAnsi="Calibri;sans-serif"/>
        </w:rPr>
        <w:t>1.3 Details of the supplier of the safety data sheet:</w:t>
        <w:br/>
        <w:t xml:space="preserve">Name: </w:t>
      </w:r>
      <w:r>
        <w:rPr>
          <w:rStyle w:val="Strong"/>
          <w:rFonts w:ascii="Calibri;sans-serif" w:hAnsi="Calibri;sans-serif"/>
        </w:rPr>
        <w:t>Vitas M Chemical Limited</w:t>
      </w:r>
      <w:r>
        <w:rPr>
          <w:rFonts w:ascii="Calibri;sans-serif" w:hAnsi="Calibri;sans-serif"/>
        </w:rPr>
        <w:t>,</w:t>
        <w:br/>
        <w:t>Phone: +852 98659192</w:t>
        <w:br/>
        <w:t>Address:  UNIT D 7/F HARVEST BUILDING 29-31 WING KUT STREET, Hong Kong</w:t>
      </w:r>
    </w:p>
    <w:p>
      <w:pPr>
        <w:pStyle w:val="BodyText"/>
        <w:bidi w:val="0"/>
        <w:spacing w:before="0" w:after="0"/>
        <w:ind w:hanging="0" w:start="0" w:end="0"/>
        <w:jc w:val="start"/>
        <w:rPr/>
      </w:pPr>
      <w:r>
        <w:rPr>
          <w:rFonts w:ascii="Calibri;sans-serif" w:hAnsi="Calibri;sans-serif"/>
        </w:rPr>
        <w:t>E-mail: irina@vitasmlab.biz</w:t>
        <w:br/>
        <w:br/>
      </w:r>
      <w:r>
        <w:rPr>
          <w:rStyle w:val="Strong"/>
          <w:rFonts w:ascii="Calibri;sans-serif" w:hAnsi="Calibri;sans-serif"/>
        </w:rPr>
        <w:t>2. Hazards identification</w:t>
      </w:r>
    </w:p>
    <w:p>
      <w:pPr>
        <w:pStyle w:val="BodyText"/>
        <w:bidi w:val="0"/>
        <w:spacing w:before="0" w:after="0"/>
        <w:ind w:hanging="0" w:start="0" w:end="0"/>
        <w:jc w:val="start"/>
        <w:rPr>
          <w:rFonts w:ascii="Calibri;sans-serif" w:hAnsi="Calibri;sans-serif"/>
        </w:rPr>
      </w:pPr>
      <w:r>
        <w:rPr>
          <w:rFonts w:ascii="Calibri;sans-serif" w:hAnsi="Calibri;sans-serif"/>
        </w:rPr>
        <w:br/>
        <w:t>2.1. Classification of the substance according to Regulation (EC) No 1907/2006 (REACH)</w:t>
      </w:r>
    </w:p>
    <w:p>
      <w:pPr>
        <w:pStyle w:val="BodyText"/>
        <w:bidi w:val="0"/>
        <w:spacing w:before="0" w:after="0"/>
        <w:ind w:hanging="0" w:start="0" w:end="0"/>
        <w:jc w:val="start"/>
        <w:rPr>
          <w:rFonts w:ascii="Calibri;sans-serif" w:hAnsi="Calibri;sans-serif"/>
        </w:rPr>
      </w:pPr>
      <w:r>
        <w:rPr>
          <w:rFonts w:ascii="Calibri;sans-serif" w:hAnsi="Calibri;sans-serif"/>
        </w:rPr>
        <w:t>Hazard description: Not classified.</w:t>
        <w:br/>
        <w:t xml:space="preserve">GHS label elements: Not required based on available data. </w:t>
      </w:r>
    </w:p>
    <w:p>
      <w:pPr>
        <w:pStyle w:val="BodyText"/>
        <w:bidi w:val="0"/>
        <w:spacing w:before="0" w:after="0"/>
        <w:ind w:hanging="0" w:start="0" w:end="0"/>
        <w:jc w:val="start"/>
        <w:rPr>
          <w:rFonts w:ascii="Calibri;sans-serif" w:hAnsi="Calibri;sans-serif"/>
        </w:rPr>
      </w:pPr>
      <w:r>
        <w:rPr>
          <w:rFonts w:ascii="Calibri;sans-serif" w:hAnsi="Calibri;sans-serif"/>
        </w:rPr>
        <w:t xml:space="preserve">Signal word: None. </w:t>
      </w:r>
    </w:p>
    <w:p>
      <w:pPr>
        <w:pStyle w:val="BodyText"/>
        <w:bidi w:val="0"/>
        <w:spacing w:before="0" w:after="0"/>
        <w:ind w:hanging="0" w:start="0" w:end="0"/>
        <w:jc w:val="start"/>
        <w:rPr>
          <w:rFonts w:ascii="Calibri;sans-serif" w:hAnsi="Calibri;sans-serif"/>
        </w:rPr>
      </w:pPr>
      <w:r>
        <w:rPr>
          <w:rFonts w:ascii="Calibri;sans-serif" w:hAnsi="Calibri;sans-serif"/>
        </w:rPr>
        <w:t xml:space="preserve">Hazard statements: None. </w:t>
      </w:r>
    </w:p>
    <w:p>
      <w:pPr>
        <w:pStyle w:val="BodyText"/>
        <w:bidi w:val="0"/>
        <w:spacing w:before="0" w:after="0"/>
        <w:ind w:hanging="0" w:start="0" w:end="0"/>
        <w:jc w:val="start"/>
        <w:rPr/>
      </w:pPr>
      <w:r>
        <w:rPr>
          <w:rFonts w:ascii="Calibri;sans-serif" w:hAnsi="Calibri;sans-serif"/>
        </w:rPr>
        <w:t>Precautionary statements: Handle as a substance of unknown toxicity.</w:t>
        <w:br/>
        <w:br/>
      </w:r>
      <w:r>
        <w:rPr>
          <w:rStyle w:val="Strong"/>
          <w:rFonts w:ascii="Calibri;sans-serif" w:hAnsi="Calibri;sans-serif"/>
        </w:rPr>
        <w:t>3. Composition/information on ingredients</w:t>
      </w:r>
    </w:p>
    <w:tbl>
      <w:tblPr>
        <w:tblW w:w="10206" w:type="dxa"/>
        <w:jc w:val="start"/>
        <w:tblInd w:w="0" w:type="dxa"/>
        <w:tblLayout w:type="fixed"/>
        <w:tblCellMar>
          <w:top w:w="28" w:type="dxa"/>
          <w:start w:w="28" w:type="dxa"/>
          <w:bottom w:w="28" w:type="dxa"/>
          <w:end w:w="28" w:type="dxa"/>
        </w:tblCellMar>
      </w:tblPr>
      <w:tblGrid>
        <w:gridCol w:w="3601"/>
        <w:gridCol w:w="2267"/>
        <w:gridCol w:w="1522"/>
        <w:gridCol w:w="1090"/>
        <w:gridCol w:w="1726"/>
      </w:tblGrid>
      <w:tr>
        <w:trPr/>
        <w:tc>
          <w:tcPr>
            <w:tcW w:w="3601" w:type="dxa"/>
            <w:tcBorders>
              <w:top w:val="single" w:sz="2" w:space="0" w:color="000000"/>
              <w:start w:val="single" w:sz="2" w:space="0" w:color="000000"/>
              <w:bottom w:val="single" w:sz="2" w:space="0" w:color="000000"/>
            </w:tcBorders>
            <w:vAlign w:val="center"/>
          </w:tcPr>
          <w:p>
            <w:pPr>
              <w:pStyle w:val="BodyTextMsoNormal"/>
              <w:bidi w:val="0"/>
              <w:spacing w:before="0" w:after="140"/>
              <w:ind w:hanging="0" w:start="0" w:end="0"/>
              <w:jc w:val="center"/>
              <w:rPr>
                <w:rFonts w:ascii="Calibri;sans-serif" w:hAnsi="Calibri;sans-serif"/>
                <w:b/>
                <w:bCs w:val="false"/>
                <w:i w:val="false"/>
                <w:iCs w:val="false"/>
                <w:sz w:val="24"/>
                <w:szCs w:val="24"/>
              </w:rPr>
            </w:pPr>
            <w:r>
              <w:rPr>
                <w:rFonts w:ascii="Calibri;sans-serif" w:hAnsi="Calibri;sans-serif"/>
                <w:b/>
                <w:bCs w:val="false"/>
                <w:iCs w:val="false"/>
                <w:szCs w:val="24"/>
              </w:rPr>
              <w:t>Substance name</w:t>
            </w:r>
          </w:p>
        </w:tc>
        <w:tc>
          <w:tcPr>
            <w:tcW w:w="2267" w:type="dxa"/>
            <w:tcBorders>
              <w:top w:val="single" w:sz="2" w:space="0" w:color="000000"/>
              <w:start w:val="single" w:sz="2" w:space="0" w:color="000000"/>
              <w:bottom w:val="single" w:sz="2" w:space="0" w:color="000000"/>
            </w:tcBorders>
            <w:vAlign w:val="center"/>
          </w:tcPr>
          <w:p>
            <w:pPr>
              <w:pStyle w:val="BodyTextMsoNormal"/>
              <w:bidi w:val="0"/>
              <w:spacing w:before="0" w:after="140"/>
              <w:ind w:hanging="0" w:start="0" w:end="0"/>
              <w:jc w:val="center"/>
              <w:rPr>
                <w:rFonts w:ascii="Calibri;sans-serif" w:hAnsi="Calibri;sans-serif"/>
                <w:b/>
                <w:bCs w:val="false"/>
                <w:i w:val="false"/>
                <w:iCs w:val="false"/>
                <w:sz w:val="24"/>
                <w:szCs w:val="24"/>
              </w:rPr>
            </w:pPr>
            <w:r>
              <w:rPr>
                <w:rFonts w:ascii="Calibri;sans-serif" w:hAnsi="Calibri;sans-serif"/>
                <w:b/>
                <w:bCs w:val="false"/>
                <w:iCs w:val="false"/>
                <w:szCs w:val="24"/>
              </w:rPr>
              <w:t>Mol Formula</w:t>
            </w:r>
          </w:p>
        </w:tc>
        <w:tc>
          <w:tcPr>
            <w:tcW w:w="1522" w:type="dxa"/>
            <w:tcBorders>
              <w:top w:val="single" w:sz="2" w:space="0" w:color="000000"/>
              <w:start w:val="single" w:sz="2" w:space="0" w:color="000000"/>
              <w:bottom w:val="single" w:sz="2" w:space="0" w:color="000000"/>
            </w:tcBorders>
            <w:vAlign w:val="center"/>
          </w:tcPr>
          <w:p>
            <w:pPr>
              <w:pStyle w:val="BodyTextMsoNormal"/>
              <w:bidi w:val="0"/>
              <w:spacing w:before="0" w:after="140"/>
              <w:ind w:hanging="0" w:start="0" w:end="0"/>
              <w:jc w:val="center"/>
              <w:rPr>
                <w:rFonts w:ascii="Calibri;sans-serif" w:hAnsi="Calibri;sans-serif"/>
                <w:b/>
                <w:bCs w:val="false"/>
                <w:i w:val="false"/>
                <w:iCs w:val="false"/>
                <w:sz w:val="24"/>
                <w:szCs w:val="24"/>
              </w:rPr>
            </w:pPr>
            <w:r>
              <w:rPr>
                <w:rFonts w:ascii="Calibri;sans-serif" w:hAnsi="Calibri;sans-serif"/>
                <w:b/>
                <w:bCs w:val="false"/>
                <w:iCs w:val="false"/>
                <w:szCs w:val="24"/>
              </w:rPr>
              <w:t>Mol Weight</w:t>
            </w:r>
          </w:p>
        </w:tc>
        <w:tc>
          <w:tcPr>
            <w:tcW w:w="1090" w:type="dxa"/>
            <w:tcBorders>
              <w:top w:val="single" w:sz="2" w:space="0" w:color="000000"/>
              <w:start w:val="single" w:sz="2" w:space="0" w:color="000000"/>
              <w:bottom w:val="single" w:sz="2" w:space="0" w:color="000000"/>
            </w:tcBorders>
            <w:vAlign w:val="center"/>
          </w:tcPr>
          <w:p>
            <w:pPr>
              <w:pStyle w:val="BodyTextMsoNormal"/>
              <w:bidi w:val="0"/>
              <w:spacing w:before="0" w:after="140"/>
              <w:ind w:hanging="0" w:start="0" w:end="0"/>
              <w:jc w:val="center"/>
              <w:rPr>
                <w:rFonts w:ascii="Calibri;sans-serif" w:hAnsi="Calibri;sans-serif"/>
                <w:b/>
                <w:bCs w:val="false"/>
                <w:i w:val="false"/>
                <w:iCs w:val="false"/>
                <w:sz w:val="24"/>
                <w:szCs w:val="24"/>
              </w:rPr>
            </w:pPr>
            <w:r>
              <w:rPr>
                <w:rFonts w:ascii="Calibri;sans-serif" w:hAnsi="Calibri;sans-serif"/>
                <w:b/>
                <w:bCs w:val="false"/>
                <w:iCs w:val="false"/>
                <w:szCs w:val="24"/>
              </w:rPr>
              <w:t>Purity</w:t>
            </w:r>
          </w:p>
        </w:tc>
        <w:tc>
          <w:tcPr>
            <w:tcW w:w="1726" w:type="dxa"/>
            <w:tcBorders>
              <w:top w:val="single" w:sz="2" w:space="0" w:color="000000"/>
              <w:start w:val="single" w:sz="2" w:space="0" w:color="000000"/>
              <w:bottom w:val="single" w:sz="2" w:space="0" w:color="000000"/>
              <w:end w:val="single" w:sz="2" w:space="0" w:color="000000"/>
            </w:tcBorders>
            <w:vAlign w:val="center"/>
          </w:tcPr>
          <w:p>
            <w:pPr>
              <w:pStyle w:val="BodyTextMsoNormal"/>
              <w:bidi w:val="0"/>
              <w:spacing w:before="0" w:after="140"/>
              <w:ind w:hanging="0" w:start="0" w:end="0"/>
              <w:jc w:val="center"/>
              <w:rPr>
                <w:rFonts w:ascii="Calibri;sans-serif" w:hAnsi="Calibri;sans-serif"/>
                <w:b/>
                <w:bCs w:val="false"/>
                <w:i w:val="false"/>
                <w:iCs w:val="false"/>
                <w:sz w:val="24"/>
                <w:szCs w:val="24"/>
              </w:rPr>
            </w:pPr>
            <w:r>
              <w:rPr>
                <w:rFonts w:ascii="Calibri;sans-serif" w:hAnsi="Calibri;sans-serif"/>
                <w:b/>
                <w:bCs w:val="false"/>
                <w:iCs w:val="false"/>
                <w:szCs w:val="24"/>
              </w:rPr>
              <w:t>Product ID</w:t>
            </w:r>
          </w:p>
        </w:tc>
      </w:tr>
      <w:tr>
        <w:trPr/>
        <w:tc>
          <w:tcPr>
            <w:tcW w:w="3601" w:type="dxa"/>
            <w:tcBorders>
              <w:start w:val="single" w:sz="2" w:space="0" w:color="000000"/>
              <w:bottom w:val="single" w:sz="2" w:space="0" w:color="000000"/>
            </w:tcBorders>
            <w:vAlign w:val="center"/>
          </w:tcPr>
          <w:p>
            <w:pPr>
              <w:pStyle w:val="BodyTextMsoNormal"/>
              <w:bidi w:val="0"/>
              <w:spacing w:before="0" w:after="140"/>
              <w:ind w:hanging="0" w:start="0" w:end="0"/>
              <w:jc w:val="start"/>
              <w:rPr>
                <w:rFonts w:ascii="Calibri;sans-serif" w:hAnsi="Calibri;sans-serif"/>
                <w:b w:val="false"/>
                <w:bCs w:val="false"/>
                <w:i w:val="false"/>
                <w:iCs w:val="false"/>
                <w:sz w:val="24"/>
                <w:szCs w:val="24"/>
                <w:highlight w:val="none"/>
              </w:rPr>
            </w:pPr>
            <w:r>
              <w:rPr>
                <w:rFonts w:ascii="Calibri;sans-serif" w:hAnsi="Calibri;sans-serif"/>
                <w:bCs w:val="false"/>
                <w:iCs w:val="false"/>
                <w:szCs w:val="24"/>
              </w:rPr>
              <w:t xml:space="preserve">(2E)-2-cyano-2-{2-[4-(2,3-dihydro-1H-indol-1-ylsulfonyl)phenyl]hydrazinylidene}ethanamide</w:t>
            </w:r>
          </w:p>
        </w:tc>
        <w:tc>
          <w:tcPr>
            <w:tcW w:w="2267" w:type="dxa"/>
            <w:tcBorders>
              <w:start w:val="single" w:sz="2" w:space="0" w:color="000000"/>
              <w:bottom w:val="single" w:sz="2" w:space="0" w:color="000000"/>
            </w:tcBorders>
            <w:vAlign w:val="center"/>
          </w:tcPr>
          <w:p>
            <w:pPr>
              <w:pStyle w:val="BodyTextMsoNormal"/>
              <w:bidi w:val="0"/>
              <w:spacing w:before="0" w:after="140"/>
              <w:ind w:hanging="0" w:start="0" w:end="0"/>
              <w:jc w:val="start"/>
              <w:rPr>
                <w:rFonts w:ascii="Calibri;sans-serif" w:hAnsi="Calibri;sans-serif"/>
                <w:b w:val="false"/>
                <w:bCs w:val="false"/>
                <w:i w:val="false"/>
                <w:iCs w:val="false"/>
                <w:sz w:val="24"/>
                <w:szCs w:val="24"/>
              </w:rPr>
            </w:pPr>
            <w:r>
              <w:rPr>
                <w:rFonts w:ascii="Calibri;sans-serif" w:hAnsi="Calibri;sans-serif"/>
                <w:bCs w:val="false"/>
                <w:iCs w:val="false"/>
                <w:szCs w:val="24"/>
              </w:rPr>
              <w:t xml:space="preserve">C17H15N5O3S</w:t>
            </w:r>
            <w:r>
              <w:rPr>
                <w:rFonts w:ascii="Calibri;sans-serif" w:hAnsi="Calibri;sans-serif"/>
                <w:bCs w:val="false"/>
                <w:iCs w:val="false"/>
                <w:szCs w:val="24"/>
              </w:rPr>
              <w:t xml:space="preserve"> </w:t>
            </w:r>
          </w:p>
        </w:tc>
        <w:tc>
          <w:tcPr>
            <w:tcW w:w="1522" w:type="dxa"/>
            <w:tcBorders>
              <w:start w:val="single" w:sz="2" w:space="0" w:color="000000"/>
              <w:bottom w:val="single" w:sz="2" w:space="0" w:color="000000"/>
            </w:tcBorders>
            <w:vAlign w:val="center"/>
          </w:tcPr>
          <w:p>
            <w:pPr>
              <w:pStyle w:val="BodyTextMsoNormal"/>
              <w:bidi w:val="0"/>
              <w:spacing w:before="0" w:after="140"/>
              <w:ind w:hanging="0" w:start="0" w:end="0"/>
              <w:jc w:val="start"/>
              <w:rPr>
                <w:rFonts w:ascii="Calibri;sans-serif" w:hAnsi="Calibri;sans-serif"/>
                <w:b w:val="false"/>
                <w:bCs w:val="false"/>
                <w:i w:val="false"/>
                <w:iCs w:val="false"/>
                <w:sz w:val="24"/>
                <w:szCs w:val="24"/>
                <w:highlight w:val="none"/>
              </w:rPr>
            </w:pPr>
            <w:r>
              <w:rPr>
                <w:rFonts w:ascii="Calibri;sans-serif" w:hAnsi="Calibri;sans-serif"/>
                <w:bCs w:val="false"/>
                <w:iCs w:val="false"/>
                <w:szCs w:val="24"/>
              </w:rPr>
              <w:t xml:space="preserve">369.4</w:t>
            </w:r>
          </w:p>
        </w:tc>
        <w:tc>
          <w:tcPr>
            <w:tcW w:w="1090" w:type="dxa"/>
            <w:tcBorders>
              <w:start w:val="single" w:sz="2" w:space="0" w:color="000000"/>
              <w:bottom w:val="single" w:sz="2" w:space="0" w:color="000000"/>
            </w:tcBorders>
            <w:vAlign w:val="center"/>
          </w:tcPr>
          <w:p>
            <w:pPr>
              <w:pStyle w:val="BodyTextMsoNormal"/>
              <w:bidi w:val="0"/>
              <w:spacing w:before="0" w:after="140"/>
              <w:ind w:hanging="0" w:start="0" w:end="0"/>
              <w:jc w:val="start"/>
              <w:rPr>
                <w:rFonts w:ascii="Calibri;sans-serif" w:hAnsi="Calibri;sans-serif"/>
                <w:b w:val="false"/>
                <w:bCs w:val="false"/>
                <w:i w:val="false"/>
                <w:iCs w:val="false"/>
                <w:sz w:val="24"/>
                <w:szCs w:val="24"/>
              </w:rPr>
            </w:pPr>
            <w:r>
              <w:rPr>
                <w:rFonts w:ascii="Calibri;sans-serif" w:hAnsi="Calibri;sans-serif"/>
                <w:bCs w:val="false"/>
                <w:iCs w:val="false"/>
                <w:szCs w:val="24"/>
              </w:rPr>
              <w:t xml:space="preserve">&gt;90% </w:t>
            </w:r>
          </w:p>
        </w:tc>
        <w:tc>
          <w:tcPr>
            <w:tcW w:w="1726" w:type="dxa"/>
            <w:tcBorders>
              <w:start w:val="single" w:sz="2" w:space="0" w:color="000000"/>
              <w:bottom w:val="single" w:sz="2" w:space="0" w:color="000000"/>
              <w:end w:val="single" w:sz="2" w:space="0" w:color="000000"/>
            </w:tcBorders>
            <w:vAlign w:val="center"/>
          </w:tcPr>
          <w:p>
            <w:pPr>
              <w:pStyle w:val="BodyTextMsoNormal"/>
              <w:bidi w:val="0"/>
              <w:spacing w:before="0" w:after="140"/>
              <w:ind w:hanging="0" w:start="0" w:end="0"/>
              <w:jc w:val="start"/>
              <w:rPr>
                <w:rFonts w:ascii="Calibri;sans-serif" w:hAnsi="Calibri;sans-serif"/>
                <w:b w:val="false"/>
                <w:bCs w:val="false"/>
                <w:i w:val="false"/>
                <w:iCs w:val="false"/>
                <w:sz w:val="24"/>
                <w:szCs w:val="24"/>
                <w:highlight w:val="none"/>
              </w:rPr>
            </w:pPr>
            <w:r>
              <w:rPr>
                <w:rFonts w:ascii="Calibri;sans-serif" w:hAnsi="Calibri;sans-serif"/>
                <w:bCs w:val="false"/>
                <w:iCs w:val="false"/>
                <w:szCs w:val="24"/>
              </w:rPr>
              <w:t xml:space="preserve">STK044293</w:t>
            </w:r>
          </w:p>
        </w:tc>
      </w:tr>
    </w:tbl>
    <w:p>
      <w:pPr>
        <w:pStyle w:val="BodyText"/>
        <w:bidi w:val="0"/>
        <w:spacing w:before="0" w:after="0"/>
        <w:ind w:hanging="0" w:start="0" w:end="0"/>
        <w:jc w:val="start"/>
        <w:rPr>
          <w:rFonts w:ascii="Calibri;sans-serif" w:hAnsi="Calibri;sans-serif"/>
        </w:rPr>
      </w:pPr>
      <w:r>
        <w:rPr>
          <w:rFonts w:ascii="Calibri;sans-serif" w:hAnsi="Calibri;sans-serif"/>
        </w:rPr>
        <w:t>Percentage: individual state, not mixtures.</w:t>
        <w:br/>
        <w:t>Classification: No components need to be disclosed according to the applicable regulations.</w:t>
      </w:r>
    </w:p>
    <w:p>
      <w:pPr>
        <w:pStyle w:val="BodyText"/>
        <w:bidi w:val="0"/>
        <w:spacing w:before="0" w:after="0"/>
        <w:ind w:hanging="0" w:start="0" w:end="0"/>
        <w:jc w:val="start"/>
        <w:rPr/>
      </w:pPr>
      <w:r>
        <w:rPr>
          <w:rFonts w:ascii="Calibri;sans-serif" w:hAnsi="Calibri;sans-serif"/>
        </w:rPr>
        <w:br/>
        <w:br/>
      </w:r>
      <w:r>
        <w:rPr>
          <w:rStyle w:val="Strong"/>
          <w:rFonts w:ascii="Calibri;sans-serif" w:hAnsi="Calibri;sans-serif"/>
        </w:rPr>
        <w:t>4. First aid measures</w:t>
      </w:r>
      <w:r>
        <w:rPr>
          <w:rFonts w:ascii="Calibri;sans-serif" w:hAnsi="Calibri;sans-serif"/>
        </w:rPr>
        <w:br/>
        <w:t>After inhalation: supply fresh air. If required, provide artificial respiration. Keep patient warm.</w:t>
        <w:br/>
        <w:t>After skin contact: Immediately wash with water and soap and rinse thoroughly.</w:t>
        <w:br/>
        <w:t>After eye contact: rinse opened eye for several minutes under running water. Then consult a doctor.</w:t>
        <w:br/>
        <w:t>After swallowing: seek medical treatment.</w:t>
        <w:br/>
        <w:br/>
      </w:r>
      <w:r>
        <w:rPr>
          <w:rStyle w:val="Strong"/>
          <w:rFonts w:ascii="Calibri;sans-serif" w:hAnsi="Calibri;sans-serif"/>
        </w:rPr>
        <w:t>5. Fire Fighting measures</w:t>
      </w:r>
      <w:r>
        <w:rPr>
          <w:rFonts w:ascii="Calibri;sans-serif" w:hAnsi="Calibri;sans-serif"/>
        </w:rPr>
        <w:br/>
        <w:t>No specific flammability data available. Use fire fighting measures that suit the surrounding fire.</w:t>
        <w:br/>
        <w:t>Protective equipment: Wear self-contained respirator.</w:t>
        <w:br/>
        <w:br/>
      </w:r>
      <w:r>
        <w:rPr>
          <w:rStyle w:val="Strong"/>
          <w:rFonts w:ascii="Calibri;sans-serif" w:hAnsi="Calibri;sans-serif"/>
        </w:rPr>
        <w:t>6. Accidental release measures</w:t>
      </w:r>
      <w:r>
        <w:rPr>
          <w:rFonts w:ascii="Calibri;sans-serif" w:hAnsi="Calibri;sans-serif"/>
        </w:rPr>
        <w:br/>
        <w:t>Person-related safety precautions: Wear protective equipment. Ensure adequate ventilation.</w:t>
        <w:br/>
        <w:t>Measures for environmental protection: Do not allow materials to be released to the environment without proper governmental permits.</w:t>
        <w:br/>
        <w:t>Additional information: See section 11 for disposal information.</w:t>
        <w:br/>
        <w:br/>
      </w:r>
      <w:r>
        <w:rPr>
          <w:rStyle w:val="Strong"/>
          <w:rFonts w:ascii="Calibri;sans-serif" w:hAnsi="Calibri;sans-serif"/>
        </w:rPr>
        <w:t>7. Handling and storage</w:t>
      </w:r>
      <w:r>
        <w:rPr>
          <w:rFonts w:ascii="Calibri;sans-serif" w:hAnsi="Calibri;sans-serif"/>
        </w:rPr>
        <w:br/>
      </w:r>
      <w:r>
        <w:rPr>
          <w:rStyle w:val="Strong"/>
          <w:rFonts w:ascii="Calibri;sans-serif" w:hAnsi="Calibri;sans-serif"/>
        </w:rPr>
        <w:t>Handling</w:t>
      </w:r>
      <w:r>
        <w:rPr>
          <w:rFonts w:ascii="Calibri;sans-serif" w:hAnsi="Calibri;sans-serif"/>
        </w:rPr>
        <w:br/>
        <w:t>Information for safe handling: Keep container tightly sealed. Store in cool, dry place in tightly closed containers. No special precautions are necessary if used correctly.</w:t>
        <w:br/>
        <w:t>Information about protection against explosions and fires: The product is not flammable</w:t>
        <w:br/>
      </w:r>
      <w:r>
        <w:rPr>
          <w:rStyle w:val="Strong"/>
          <w:rFonts w:ascii="Calibri;sans-serif" w:hAnsi="Calibri;sans-serif"/>
        </w:rPr>
        <w:t>Storage</w:t>
      </w:r>
      <w:r>
        <w:rPr>
          <w:rFonts w:ascii="Calibri;sans-serif" w:hAnsi="Calibri;sans-serif"/>
        </w:rPr>
        <w:br/>
        <w:t>Requirements for storage rooms and vessels: Keep vial tightly closed and upright. Store in a cool and well ventilated place.</w:t>
        <w:br/>
        <w:t>Information about storage in one common storage facility:</w:t>
        <w:br/>
        <w:t>Store away from oxidizing agents.</w:t>
        <w:br/>
        <w:t>Do not store together with acids.</w:t>
        <w:br/>
        <w:br/>
      </w:r>
      <w:r>
        <w:rPr>
          <w:rStyle w:val="Strong"/>
          <w:rFonts w:ascii="Calibri;sans-serif" w:hAnsi="Calibri;sans-serif"/>
        </w:rPr>
        <w:t>8. Exposure controls and personal protection</w:t>
      </w:r>
      <w:r>
        <w:rPr>
          <w:rFonts w:ascii="Calibri;sans-serif" w:hAnsi="Calibri;sans-serif"/>
        </w:rPr>
        <w:br/>
        <w:t>General protective and hygienic measures</w:t>
        <w:br/>
        <w:t>The usual precautionary measures for handling chemicals should be followed. Keep away from foodstuff, beverages and food. Wash hands before breaks and at the end of work.</w:t>
        <w:br/>
        <w:t>Breathing equipment: Use suitable respirator when high concentrations are present.</w:t>
        <w:br/>
        <w:t>Protection of hands: Impervious gloves.</w:t>
        <w:br/>
        <w:t>Body protection: Protective work clothing.</w:t>
      </w:r>
    </w:p>
    <w:p>
      <w:pPr>
        <w:pStyle w:val="BodyText"/>
        <w:bidi w:val="0"/>
        <w:spacing w:before="0" w:after="0"/>
        <w:ind w:hanging="0" w:start="0" w:end="0"/>
        <w:jc w:val="start"/>
        <w:rPr>
          <w:rFonts w:ascii="Calibri;sans-serif" w:hAnsi="Calibri;sans-serif"/>
        </w:rPr>
      </w:pPr>
      <w:r>
        <w:rPr>
          <w:rFonts w:ascii="Calibri;sans-serif" w:hAnsi="Calibri;sans-serif"/>
        </w:rPr>
        <w:t xml:space="preserve">Eye protection: Safety glasses or chemical goggles. </w:t>
      </w:r>
    </w:p>
    <w:p>
      <w:pPr>
        <w:pStyle w:val="BodyText"/>
        <w:bidi w:val="0"/>
        <w:spacing w:before="0" w:after="0"/>
        <w:ind w:hanging="0" w:start="0" w:end="0"/>
        <w:jc w:val="start"/>
        <w:rPr/>
      </w:pPr>
      <w:r>
        <w:rPr>
          <w:rFonts w:ascii="Calibri;sans-serif" w:hAnsi="Calibri;sans-serif"/>
        </w:rPr>
        <w:t>Engineering controls: Handle in a chemical fume hood or with adequate local ventilation.</w:t>
        <w:br/>
        <w:br/>
      </w:r>
      <w:r>
        <w:rPr>
          <w:rStyle w:val="Strong"/>
          <w:rFonts w:ascii="Calibri;sans-serif" w:hAnsi="Calibri;sans-serif"/>
        </w:rPr>
        <w:t>9. Physical and chemical properties</w:t>
      </w:r>
      <w:r>
        <w:rPr>
          <w:rFonts w:ascii="Calibri;sans-serif" w:hAnsi="Calibri;sans-serif"/>
        </w:rPr>
        <w:br/>
        <w:t>Appearance: odorless dry powder,</w:t>
      </w:r>
    </w:p>
    <w:p>
      <w:pPr>
        <w:pStyle w:val="BodyText"/>
        <w:bidi w:val="0"/>
        <w:spacing w:before="0" w:after="0"/>
        <w:ind w:hanging="0" w:start="0" w:end="0"/>
        <w:jc w:val="start"/>
        <w:rPr>
          <w:rFonts w:ascii="Calibri;sans-serif" w:hAnsi="Calibri;sans-serif"/>
        </w:rPr>
      </w:pPr>
      <w:r>
        <w:rPr>
          <w:rFonts w:ascii="Calibri;sans-serif" w:hAnsi="Calibri;sans-serif"/>
        </w:rPr>
        <w:t>Color: not available.</w:t>
      </w:r>
    </w:p>
    <w:p>
      <w:pPr>
        <w:pStyle w:val="BodyText"/>
        <w:bidi w:val="0"/>
        <w:spacing w:before="0" w:after="0"/>
        <w:ind w:hanging="0" w:start="0" w:end="0"/>
        <w:jc w:val="start"/>
        <w:rPr>
          <w:rFonts w:ascii="Calibri;sans-serif" w:hAnsi="Calibri;sans-serif"/>
        </w:rPr>
      </w:pPr>
      <w:r>
        <w:rPr>
          <w:rFonts w:ascii="Calibri;sans-serif" w:hAnsi="Calibri;sans-serif"/>
        </w:rPr>
        <w:t>Melting point: not determined</w:t>
      </w:r>
    </w:p>
    <w:p>
      <w:pPr>
        <w:pStyle w:val="BodyText"/>
        <w:bidi w:val="0"/>
        <w:spacing w:before="0" w:after="0"/>
        <w:ind w:hanging="0" w:start="0" w:end="0"/>
        <w:jc w:val="start"/>
        <w:rPr>
          <w:rFonts w:ascii="Calibri;sans-serif" w:hAnsi="Calibri;sans-serif"/>
        </w:rPr>
      </w:pPr>
      <w:r>
        <w:rPr>
          <w:rFonts w:ascii="Calibri;sans-serif" w:hAnsi="Calibri;sans-serif"/>
        </w:rPr>
        <w:t>Solubility: not determined</w:t>
        <w:br/>
        <w:t>Boiling point: Not determined</w:t>
        <w:br/>
        <w:t>Flash point: Not applicable</w:t>
      </w:r>
    </w:p>
    <w:p>
      <w:pPr>
        <w:pStyle w:val="BodyText"/>
        <w:bidi w:val="0"/>
        <w:spacing w:before="0" w:after="0"/>
        <w:ind w:hanging="0" w:start="0" w:end="0"/>
        <w:jc w:val="start"/>
        <w:rPr>
          <w:rFonts w:ascii="Calibri;sans-serif" w:hAnsi="Calibri;sans-serif"/>
        </w:rPr>
      </w:pPr>
      <w:r>
        <w:rPr>
          <w:rFonts w:ascii="Calibri;sans-serif" w:hAnsi="Calibri;sans-serif"/>
        </w:rPr>
        <w:t>pH: not applicable / not determined</w:t>
      </w:r>
    </w:p>
    <w:p>
      <w:pPr>
        <w:pStyle w:val="BodyText"/>
        <w:bidi w:val="0"/>
        <w:spacing w:before="0" w:after="0"/>
        <w:ind w:hanging="0" w:start="0" w:end="0"/>
        <w:jc w:val="start"/>
        <w:rPr>
          <w:rFonts w:ascii="Calibri;sans-serif" w:hAnsi="Calibri;sans-serif"/>
        </w:rPr>
      </w:pPr>
      <w:r>
        <w:rPr>
          <w:rFonts w:ascii="Calibri;sans-serif" w:hAnsi="Calibri;sans-serif"/>
        </w:rPr>
        <w:t>Density: not determined</w:t>
        <w:br/>
        <w:t>Flammability: Not determined.</w:t>
        <w:br/>
        <w:t>Ignition temperature: Not applicable</w:t>
        <w:br/>
        <w:t>Decomposition temperature: Not determined</w:t>
        <w:br/>
        <w:t>Materials to be avoided: Acids, Oxidizing agents.</w:t>
        <w:br/>
        <w:t>Dangerous reactions: React with strong acids. React with strong oxidizing agents.</w:t>
        <w:br/>
        <w:t>Explosive properties: Not determined</w:t>
        <w:br/>
        <w:t>Oxidizing properties: Not determined</w:t>
      </w:r>
    </w:p>
    <w:p>
      <w:pPr>
        <w:pStyle w:val="BodyText"/>
        <w:bidi w:val="0"/>
        <w:spacing w:before="0" w:after="0"/>
        <w:ind w:hanging="0" w:start="0" w:end="0"/>
        <w:jc w:val="start"/>
        <w:rPr/>
      </w:pPr>
      <w:r>
        <w:rPr>
          <w:rFonts w:ascii="Calibri;sans-serif" w:hAnsi="Calibri;sans-serif"/>
        </w:rPr>
        <w:br/>
      </w:r>
      <w:r>
        <w:rPr>
          <w:rStyle w:val="Strong"/>
          <w:rFonts w:ascii="Calibri;sans-serif" w:hAnsi="Calibri;sans-serif"/>
        </w:rPr>
        <w:t>10. Stability and reactivity</w:t>
      </w:r>
      <w:r>
        <w:rPr>
          <w:rFonts w:ascii="Calibri;sans-serif" w:hAnsi="Calibri;sans-serif"/>
        </w:rPr>
        <w:br/>
        <w:t>Chemical stability: stable under recommended storage conditions</w:t>
        <w:br/>
        <w:t>Conditions to avoid: excess heat</w:t>
        <w:br/>
        <w:t>Materials to avoid: strong oxidizing agents, strong acids, strong bases</w:t>
        <w:br/>
        <w:br/>
      </w:r>
      <w:r>
        <w:rPr>
          <w:rStyle w:val="Strong"/>
          <w:rFonts w:ascii="Calibri;sans-serif" w:hAnsi="Calibri;sans-serif"/>
        </w:rPr>
        <w:t>11. Toxicological information</w:t>
      </w:r>
      <w:r>
        <w:rPr>
          <w:rFonts w:ascii="Calibri;sans-serif" w:hAnsi="Calibri;sans-serif"/>
        </w:rPr>
        <w:br/>
        <w:t>Toxicological properties have not been fully investigated. Handle as a substance of unknown toxicity. Avoid inhalation, ingestion, skin contact and eye contact. Additional toxicological information: No classification data on carcinogenic properties of this material is available from the EPA, IARC, NTP, OSHA or ACGIH.</w:t>
        <w:br/>
        <w:br/>
      </w:r>
      <w:r>
        <w:rPr>
          <w:rStyle w:val="Strong"/>
          <w:rFonts w:ascii="Calibri;sans-serif" w:hAnsi="Calibri;sans-serif"/>
        </w:rPr>
        <w:t>12. Ecological information.</w:t>
      </w:r>
      <w:r>
        <w:rPr>
          <w:rFonts w:ascii="Calibri;sans-serif" w:hAnsi="Calibri;sans-serif"/>
        </w:rPr>
        <w:br/>
        <w:t>General notes: Not regarded as dangerous for the environment. However, large or frequent spills may have hazardous effects on the environment.</w:t>
        <w:br/>
        <w:br/>
      </w:r>
      <w:r>
        <w:rPr>
          <w:rStyle w:val="Strong"/>
          <w:rFonts w:ascii="Calibri;sans-serif" w:hAnsi="Calibri;sans-serif"/>
        </w:rPr>
        <w:t>13. Disposal considerations</w:t>
      </w:r>
      <w:r>
        <w:rPr>
          <w:rFonts w:ascii="Calibri;sans-serif" w:hAnsi="Calibri;sans-serif"/>
        </w:rPr>
        <w:br/>
        <w:t>Recommendation: Consult local or national regulations for proper disposal.</w:t>
        <w:br/>
        <w:br/>
      </w:r>
      <w:r>
        <w:rPr>
          <w:rStyle w:val="Strong"/>
          <w:rFonts w:ascii="Calibri;sans-serif" w:hAnsi="Calibri;sans-serif"/>
        </w:rPr>
        <w:t>14. Transport information</w:t>
      </w:r>
      <w:r>
        <w:rPr>
          <w:rFonts w:ascii="Calibri;sans-serif" w:hAnsi="Calibri;sans-serif"/>
        </w:rPr>
        <w:br/>
        <w:t>Not a hazardous materials for transportation.</w:t>
        <w:br/>
        <w:t>ICAO/IATA Class: None</w:t>
        <w:br/>
        <w:t>Transport/Additional information: Not dangerous regarding EU Transport Directive (ADR).</w:t>
        <w:br/>
        <w:br/>
      </w:r>
      <w:r>
        <w:rPr>
          <w:rStyle w:val="Strong"/>
          <w:rFonts w:ascii="Calibri;sans-serif" w:hAnsi="Calibri;sans-serif"/>
        </w:rPr>
        <w:t>15. Regulations</w:t>
      </w:r>
    </w:p>
    <w:p>
      <w:pPr>
        <w:pStyle w:val="BodyText"/>
        <w:bidi w:val="0"/>
        <w:spacing w:before="0" w:after="0"/>
        <w:ind w:hanging="0" w:start="0" w:end="0"/>
        <w:jc w:val="start"/>
        <w:rPr/>
      </w:pPr>
      <w:r>
        <w:rPr>
          <w:rFonts w:ascii="Calibri;sans-serif" w:hAnsi="Calibri;sans-serif"/>
        </w:rPr>
        <w:t>Regulatory information is provided within the relevant sections of this safety data sheet, as  appropriate.</w:t>
        <w:br/>
        <w:br/>
      </w:r>
      <w:r>
        <w:rPr>
          <w:rStyle w:val="Strong"/>
          <w:rFonts w:ascii="Calibri;sans-serif" w:hAnsi="Calibri;sans-serif"/>
        </w:rPr>
        <w:t>16. Other information:</w:t>
      </w:r>
      <w:r>
        <w:rPr>
          <w:rFonts w:ascii="Calibri;sans-serif" w:hAnsi="Calibri;sans-serif"/>
        </w:rPr>
        <w:br/>
        <w:t>Employers should use this information only as a supplement to other information gathered by them, and should make independent judgement of suitability of this information to ensure proper use and protect the health and safety of employees. This information is furnished without warranty, and any use of the product not in conformance with this Material Safety Data Sheet, or in combination with any other product or process, is the responsibility of the user.</w:t>
        <w:br/>
        <w:t>For Research and Development use only. Not for drug, household and other uses. This is an experimental product whose properties are not fully evaluated yet. The information contained herein is based on the present state of our knowledge and therefore does not guarantee certain properties. Recipient of this product must take responsibility for observing existing law and regulations.</w:t>
        <w:br/>
        <w:br/>
        <w:t>August 06, 2026</w:t>
      </w:r>
    </w:p>
    <w:sectPr>
      <w:type w:val="nextPage"/>
      <w:pgSz w:w="11906" w:h="16838"/>
      <w:pgMar w:left="1134" w:right="567" w:gutter="0" w:header="0" w:top="567" w:footer="0" w:bottom="567"/>
      <w:pgNumType w:fmt="decimal"/>
      <w:formProt w:val="false"/>
      <w:textDirection w:val="lrTb"/>
    </w:sectPr>
  </w:body>
</w:document>
</file>

<file path=word/fontTable.xml><?xml version="1.0" encoding="utf-8"?>
<w:fonts xmlns:w="http://schemas.openxmlformats.org/wordprocessingml/2006/main" xmlns:r="http://schemas.openxmlformats.org/officeDocument/2006/relationships">
  <w:font w:name="Times New Roman">
    <w:charset w:val="00" w:characterSet="windows-1252"/>
    <w:family w:val="roman"/>
    <w:pitch w:val="variable"/>
  </w:font>
  <w:font w:name="Symbol">
    <w:charset w:val="02"/>
    <w:family w:val="roman"/>
    <w:pitch w:val="variable"/>
  </w:font>
  <w:font w:name="Arial">
    <w:charset w:val="00" w:characterSet="windows-1252"/>
    <w:family w:val="swiss"/>
    <w:pitch w:val="variable"/>
  </w:font>
  <w:font w:name="Liberation Serif">
    <w:altName w:val="Times New Roman"/>
    <w:charset w:val="01" w:characterSet="utf-8"/>
    <w:family w:val="roman"/>
    <w:pitch w:val="variable"/>
  </w:font>
  <w:font w:name="Liberation Sans">
    <w:altName w:val="Arial"/>
    <w:charset w:val="01" w:characterSet="utf-8"/>
    <w:family w:val="swiss"/>
    <w:pitch w:val="variable"/>
  </w:font>
  <w:font w:name="Calibri">
    <w:altName w:val="sans-serif"/>
    <w:charset w:val="01" w:characterSet="utf-8"/>
    <w:family w:val="auto"/>
    <w:pitch w:val="default"/>
  </w:font>
</w:fonts>
</file>

<file path=word/settings.xml><?xml version="1.0" encoding="utf-8"?>
<w:settings xmlns:w="http://schemas.openxmlformats.org/wordprocessingml/2006/main">
  <w:zoom w:percent="130"/>
  <w:defaultTabStop w:val="288"/>
  <w:autoHyphenation w:val="true"/>
  <w:hyphenationZone w:val="0"/>
  <w:compat>
    <w:adjustLineHeightInTable/>
    <w:compatSetting w:name="compatibilityMode" w:uri="http://schemas.microsoft.com/office/word" w:val="15"/>
    <w:compatSetting w:name="useWord2013TrackBottomHyphenation" w:uri="http://schemas.microsoft.com/office/word" w:val="1"/>
    <w:compatSetting w:name="allowHyphenationAtTrackBottom" w:uri="http://schemas.microsoft.com/office/word" w:val="1"/>
  </w:compat>
</w:settings>
</file>

<file path=word/styles.xml><?xml version="1.0" encoding="utf-8"?>
<w:styles xmlns:w="http://schemas.openxmlformats.org/wordprocessingml/2006/main" xmlns:w14="http://schemas.microsoft.com/office/word/2010/wordml" xmlns:mc="http://schemas.openxmlformats.org/markup-compatibility/2006" mc:Ignorable="w14">
  <w:docDefaults>
    <w:rPrDefault>
      <w:rPr>
        <w:rFonts w:ascii="Liberation Serif" w:hAnsi="Liberation Serif" w:eastAsia="Noto Serif CJK SC" w:cs="Noto Sans"/>
        <w:sz w:val="24"/>
        <w:szCs w:val="24"/>
        <w:lang w:val="en-US" w:eastAsia="zh-CN" w:bidi="hi-IN"/>
      </w:rPr>
    </w:rPrDefault>
    <w:pPrDefault>
      <w:pPr>
        <w:suppressAutoHyphens w:val="true"/>
      </w:pPr>
    </w:pPrDefault>
  </w:docDefaults>
  <w:style w:type="paragraph" w:styleId="Normal">
    <w:name w:val="Normal"/>
    <w:qFormat/>
    <w:pPr>
      <w:widowControl w:val="false"/>
      <w:bidi w:val="0"/>
    </w:pPr>
    <w:rPr>
      <w:rFonts w:ascii="Liberation Serif" w:hAnsi="Liberation Serif" w:eastAsia="Noto Serif CJK SC" w:cs="Noto Sans"/>
      <w:color w:val="000000"/>
      <w:sz w:val="24"/>
      <w:szCs w:val="24"/>
      <w:lang w:val="en-US" w:eastAsia="zh-CN" w:bidi="hi-IN"/>
    </w:rPr>
  </w:style>
  <w:style w:type="character" w:styleId="Strong">
    <w:name w:val="Strong"/>
    <w:qFormat/>
    <w:rPr>
      <w:b/>
      <w:bCs/>
    </w:rPr>
  </w:style>
  <w:style w:type="character" w:styleId="FootnoteCharacters">
    <w:name w:val="Footnote Characters"/>
    <w:qFormat/>
    <w:rPr/>
  </w:style>
  <w:style w:type="character" w:styleId="EndnoteCharacters">
    <w:name w:val="Endnote Characters"/>
    <w:qFormat/>
    <w:rPr/>
  </w:style>
  <w:style w:type="character" w:styleId="Hyperlink">
    <w:name w:val="Hyperlink"/>
    <w:rPr>
      <w:color w:val="000080"/>
      <w:u w:val="single"/>
    </w:rPr>
  </w:style>
  <w:style w:type="character" w:styleId="FollowedHyperlink">
    <w:name w:val="FollowedHyperlink"/>
    <w:rPr>
      <w:color w:val="800000"/>
      <w:u w:val="single"/>
    </w:rPr>
  </w:style>
  <w:style w:type="paragraph" w:styleId="Heading">
    <w:name w:val="Heading"/>
    <w:basedOn w:val="Normal"/>
    <w:next w:val="BodyText"/>
    <w:qFormat/>
    <w:pPr>
      <w:keepNext w:val="true"/>
      <w:spacing w:before="240" w:after="120"/>
    </w:pPr>
    <w:rPr>
      <w:rFonts w:ascii="Liberation Sans" w:hAnsi="Liberation Sans" w:eastAsia="Noto Sans CJK SC" w:cs="Noto Sans"/>
      <w:sz w:val="28"/>
      <w:szCs w:val="28"/>
    </w:rPr>
  </w:style>
  <w:style w:type="paragraph" w:styleId="BodyText">
    <w:name w:val="Body Text"/>
    <w:basedOn w:val="Normal"/>
    <w:pPr>
      <w:spacing w:lineRule="auto" w:line="276" w:before="0" w:after="140"/>
    </w:pPr>
    <w:rPr/>
  </w:style>
  <w:style w:type="paragraph" w:styleId="List">
    <w:name w:val="List"/>
    <w:basedOn w:val="BodyText"/>
    <w:pPr/>
    <w:rPr>
      <w:rFonts w:cs="Noto Sans"/>
    </w:rPr>
  </w:style>
  <w:style w:type="paragraph" w:styleId="Caption">
    <w:name w:val="caption"/>
    <w:basedOn w:val="Normal"/>
    <w:qFormat/>
    <w:pPr>
      <w:suppressLineNumbers/>
      <w:spacing w:before="120" w:after="120"/>
    </w:pPr>
    <w:rPr>
      <w:rFonts w:cs="Noto Sans"/>
      <w:i/>
      <w:iCs/>
      <w:sz w:val="24"/>
      <w:szCs w:val="24"/>
    </w:rPr>
  </w:style>
  <w:style w:type="paragraph" w:styleId="Index">
    <w:name w:val="Index"/>
    <w:basedOn w:val="Normal"/>
    <w:qFormat/>
    <w:pPr>
      <w:suppressLineNumbers/>
    </w:pPr>
    <w:rPr>
      <w:rFonts w:cs="Noto Sans"/>
    </w:rPr>
  </w:style>
  <w:style w:type="paragraph" w:styleId="BodyTextMsoNormal">
    <w:name w:val="Body Text.MsoNormal"/>
    <w:basedOn w:val="BodyText"/>
    <w:qFormat/>
    <w:pPr/>
    <w:rPr/>
  </w:style>
  <w:style w:type="paragraph" w:styleId="TableContents">
    <w:name w:val="Table Contents"/>
    <w:basedOn w:val="Normal"/>
    <w:qFormat/>
    <w:pPr>
      <w:widowControl w:val="false"/>
      <w:suppressLineNumbers/>
    </w:pPr>
    <w:rPr/>
  </w:style>
  <w:style w:type="paragraph" w:styleId="TableHeading">
    <w:name w:val="Table Heading"/>
    <w:basedOn w:val="TableContents"/>
    <w:qFormat/>
    <w:pPr>
      <w:suppressLineNumbers/>
      <w:jc w:val="center"/>
    </w:pPr>
    <w:rPr>
      <w:b/>
      <w:bCs/>
    </w:rPr>
  </w:style>
  <w:style w:type="paragraph" w:styleId="ListContents">
    <w:name w:val="List Contents"/>
    <w:basedOn w:val="Normal"/>
    <w:qFormat/>
    <w:pPr>
      <w:ind w:start="567"/>
    </w:pPr>
    <w:rPr/>
  </w:style>
</w:styles>
</file>

<file path=word/_rels/document.xml.rels><?xml version="1.0" encoding="UTF-8"?>
<Relationships xmlns="http://schemas.openxmlformats.org/package/2006/relationships"><Relationship Id="rId1" Type="http://schemas.openxmlformats.org/officeDocument/2006/relationships/styles" Target="styles.xml"/><Relationship Id="rId2" Type="http://schemas.openxmlformats.org/officeDocument/2006/relationships/fontTable" Target="fontTable.xml"/><Relationship Id="rId3" Type="http://schemas.openxmlformats.org/officeDocument/2006/relationships/settings" Target="settings.xml"/><Relationship Id="rId4" Type="http://schemas.openxmlformats.org/officeDocument/2006/relationships/theme" Target="theme/theme1.xml"/>
</Relationships>
</file>

<file path=word/theme/theme1.xml><?xml version="1.0" encoding="utf-8"?>
<a:theme xmlns:a="http://schemas.openxmlformats.org/drawingml/2006/main" xmlns:r="http://schemas.openxmlformats.org/officeDocument/2006/relationships" name="Office">
  <a:themeElements>
    <a:clrScheme name="LibreOffice">
      <a:dk1>
        <a:srgbClr val="000000"/>
      </a:dk1>
      <a:lt1>
        <a:srgbClr val="FFFFFF"/>
      </a:lt1>
      <a:dk2>
        <a:srgbClr val="000000"/>
      </a:dk2>
      <a:lt2>
        <a:srgbClr val="FFFFFF"/>
      </a:lt2>
      <a:accent1>
        <a:srgbClr val="18A303"/>
      </a:accent1>
      <a:accent2>
        <a:srgbClr val="0369A3"/>
      </a:accent2>
      <a:accent3>
        <a:srgbClr val="A33E03"/>
      </a:accent3>
      <a:accent4>
        <a:srgbClr val="8E03A3"/>
      </a:accent4>
      <a:accent5>
        <a:srgbClr val="C99C00"/>
      </a:accent5>
      <a:accent6>
        <a:srgbClr val="C9211E"/>
      </a:accent6>
      <a:hlink>
        <a:srgbClr val="0000EE"/>
      </a:hlink>
      <a:folHlink>
        <a:srgbClr val="551A8B"/>
      </a:folHlink>
    </a:clrScheme>
    <a:fontScheme name="Office">
      <a:majorFont>
        <a:latin typeface="Arial" pitchFamily="0" charset="1"/>
        <a:ea typeface="DejaVu Sans" pitchFamily="0" charset="1"/>
        <a:cs typeface="DejaVu Sans" pitchFamily="0" charset="1"/>
      </a:majorFont>
      <a:minorFont>
        <a:latin typeface="Arial" pitchFamily="0" charset="1"/>
        <a:ea typeface="DejaVu Sans" pitchFamily="0" charset="1"/>
        <a:cs typeface="DejaVu Sans" pitchFamily="0" charset="1"/>
      </a:minorFont>
    </a:fontScheme>
    <a:fmtScheme>
      <a:fillStyleLst>
        <a:solidFill>
          <a:schemeClr val="phClr"/>
        </a:solidFill>
        <a:solidFill>
          <a:schemeClr val="phClr"/>
        </a:solidFill>
        <a:solidFill>
          <a:schemeClr val="phClr"/>
        </a:solidFill>
      </a:fillStyleLst>
      <a:lnStyleLst>
        <a:ln w="6350" cap="flat" cmpd="sng" algn="ctr">
          <a:prstDash val="solid"/>
          <a:miter/>
        </a:ln>
        <a:ln w="6350" cap="flat" cmpd="sng" algn="ctr">
          <a:prstDash val="solid"/>
          <a:miter/>
        </a:ln>
        <a:ln w="6350" cap="flat" cmpd="sng" algn="ctr">
          <a:prstDash val="solid"/>
          <a:miter/>
        </a:ln>
      </a:lnStyleLst>
      <a:effectStyleLst>
        <a:effectStyle>
          <a:effectLst/>
        </a:effectStyle>
        <a:effectStyle>
          <a:effectLst/>
        </a:effectStyle>
        <a:effectStyle>
          <a:effectLst/>
        </a:effectStyle>
      </a:effectStyleLst>
      <a:bgFillStyleLst>
        <a:solidFill>
          <a:schemeClr val="phClr"/>
        </a:solidFill>
        <a:solidFill>
          <a:schemeClr val="phClr"/>
        </a:solidFill>
        <a:solidFill>
          <a:schemeClr val="phClr"/>
        </a:solidFill>
      </a:bgFillStyleLst>
    </a:fmtScheme>
  </a:themeElements>
</a:theme>
</file>

<file path=docProps/app.xml><?xml version="1.0" encoding="utf-8"?>
<Properties xmlns="http://schemas.openxmlformats.org/officeDocument/2006/extended-properties" xmlns:vt="http://schemas.openxmlformats.org/officeDocument/2006/docPropsVTypes">
  <Template/>
  <TotalTime>94</TotalTime>
  <Application>LibreOffice/26.2.4.2$Linux_X86_64 LibreOffice_project/0229ac93fcf0d7cbc6376066c6f35021cef002dc</Application>
  <AppVersion>15.0000</AppVersion>
  <Pages>3</Pages>
  <Words>805</Words>
  <Characters>5092</Characters>
  <CharactersWithSpaces>5889</CharactersWithSpaces>
  <Paragraphs>39</Paragraph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description/>
  <dc:language>ru-RU</dc:language>
  <cp:lastModifiedBy/>
  <dcterms:modified xsi:type="dcterms:W3CDTF">2026-08-06T18:34:26Z</dcterms:modified>
  <cp:revision>1</cp:revision>
  <dc:subject/>
  <dc:title/>
</cp:coreProperties>
</file>

<file path=docProps/custom.xml><?xml version="1.0" encoding="utf-8"?>
<Properties xmlns="http://schemas.openxmlformats.org/officeDocument/2006/custom-properties" xmlns:vt="http://schemas.openxmlformats.org/officeDocument/2006/docPropsVTypes">
  <property fmtid="{D5CDD505-2E9C-101B-9397-08002B2CF9AE}" pid="2" name="Originator">
    <vt:lpwstr>Microsoft Word 15</vt:lpwstr>
  </property>
  <property fmtid="{D5CDD505-2E9C-101B-9397-08002B2CF9AE}" pid="3" name="ProgId">
    <vt:lpwstr>Word.Document</vt:lpwstr>
  </property>
</Properties>
</file>