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(5E)-5-{[5-(2,5-dichlorophenyl)furan-2-yl]methylidene}-2-[4-(2-methylphenyl)piperazin-1-yl]-1,3-thiazol-4(5H)-one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(5E)-5-{[5-(2,5-dichlorophenyl)furan-2-yl]methylidene}-2-[4-(2-methylphenyl)piperazin-1-yl]-1,3-thiazol-4(5H)-one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C25H21Cl2N3O2S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