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(3E)-3-{2-[6-(2-methylbutan-2-yl)-5,6,7,8-tetrahydro[1]benzothieno[2,3-d]pyrimidin-4-yl]hydrazinylidene}-1,3-dihydro-2H-indol-2-one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(3E)-3-{2-[6-(2-methylbutan-2-yl)-5,6,7,8-tetrahydro[1]benzothieno[2,3-d]pyrimidin-4-yl]hydrazinylidene}-1,3-dihydro-2H-indol-2-one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