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N'-[(Z)-(3-bromo-4-hydroxy-5-methoxyphenyl)methylidene]-2-{[5-(4-chlorophenyl)-4-(4-ethoxyphenyl)-4H-1,2,4-triazol-3-yl]sulfanyl}acetohydrazide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N'-[(Z)-(3-bromo-4-hydroxy-5-methoxyphenyl)methylidene]-2-{[5-(4-chlorophenyl)-4-(4-ethoxyphenyl)-4H-1,2,4-triazol-3-yl]sulfanyl}acetohydrazide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C26H23BrClN5O4S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