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2-chloro-5-{3-[(1,3-dimethyl-2,4,6-trioxotetrahydropyrimidin-5(2H)-ylidene)methyl]-2,5-dimethyl-1H-pyrrol-1-yl}benzoic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2-chloro-5-{3-[(1,3-dimethyl-2,4,6-trioxotetrahydropyrimidin-5(2H)-ylidene)methyl]-2,5-dimethyl-1H-pyrrol-1-yl}benzoic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