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STK320511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(4-{(Z)-[3-(4-bromophenyl)-4-oxo-2-thioxo-1,3-thiazolidin-5-ylidene]methyl}-2-chloro-6-methoxyphenoxy)acetate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(4-{(Z)-[3-(4-bromophenyl)-4-oxo-2-thioxo-1,3-thiazolidin-5-ylidene]methyl}-2-chloro-6-methoxyphenoxy)acetate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C21H17BrClNO5S2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STK320511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