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N-(diphenylmethyl)-2-{[5-(morpholin-4-yl)-1,2,3,4-tetrahydropyrimido[4',5':4,5]thieno[2,3-c]isoquinolin-8-yl]sulfanyl}acetamide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N-(diphenylmethyl)-2-{[5-(morpholin-4-yl)-1,2,3,4-tetrahydropyrimido[4',5':4,5]thieno[2,3-c]isoquinolin-8-yl]sulfanyl}acetamide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