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(5E)-5-{1-[(1,5-dimethyl-3-oxo-2-phenyl-2,3-dihydro-1H-pyrazol-4-yl)amino]ethylidene}-6-hydroxy-3-(4-methoxyphenyl)pyrimidine-2,4(3H,5H)-dione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(5E)-5-{1-[(1,5-dimethyl-3-oxo-2-phenyl-2,3-dihydro-1H-pyrazol-4-yl)amino]ethylidene}-6-hydroxy-3-(4-methoxyphenyl)pyrimidine-2,4(3H,5H)-dione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C24H23N5O5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