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3-(2-phenylethyl)-1-[2-(pyrrolidin-1-yl)ethyl]-1,5,6,7,8,9-hexahydro-2H-cyclohepta[4,5]thieno[2,3-d]pyrimidine-2,4(3H)-dione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3-(2-phenylethyl)-1-[2-(pyrrolidin-1-yl)ethyl]-1,5,6,7,8,9-hexahydro-2H-cyclohepta[4,5]thieno[2,3-d]pyrimidine-2,4(3H)-dione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