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N-(4-bromophenyl)-2-{[5-(methylsulfanyl)-8,9,10,11-tetrahydro[1]benzothieno[3,2-e][1,2,4]triazolo[4,3-c]pyrimidin-3-yl]sulfanyl}acetamide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N-(4-bromophenyl)-2-{[5-(methylsulfanyl)-8,9,10,11-tetrahydro[1]benzothieno[3,2-e][1,2,4]triazolo[4,3-c]pyrimidin-3-yl]sulfanyl}acetamide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C20H18BrN5OS3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520.5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STK720418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