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(2Z)-7-[(3,5-dimethylpiperidinium-1-yl)methyl]-3-oxo-2-(2,4,5-trimethoxybenzylidene)-2,3-dihydro-1-benzofuran-6-olate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(2Z)-7-[(3,5-dimethylpiperidinium-1-yl)methyl]-3-oxo-2-(2,4,5-trimethoxybenzylidene)-2,3-dihydro-1-benzofuran-6-olate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