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2-[3-(3-methoxybenzyl)-2,4-dioxo-3,4-dihydrothieno[3,2-d]pyrimidin-1(2H)-yl]-N-[2-(propan-2-yl)phenyl]acetamide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2-[3-(3-methoxybenzyl)-2,4-dioxo-3,4-dihydrothieno[3,2-d]pyrimidin-1(2H)-yl]-N-[2-(propan-2-yl)phenyl]acetamide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