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3-[(1E)-1-(2-{[1-(4-ammonio-1,2,5-oxadiazol-3-yl)-5-(3-methoxyphenyl)-1H-1,2,3-triazol-4-yl]carbonyl}hydrazinylidene)ethyl]phenolate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3-[(1E)-1-(2-{[1-(4-ammonio-1,2,5-oxadiazol-3-yl)-5-(3-methoxyphenyl)-1H-1,2,3-triazol-4-yl]carbonyl}hydrazinylidene)ethyl]phenolate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