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(E)-{1-[2-(dimethylammonio)ethyl]-2-(2-fluorophenyl)-4,5-dioxopyrrolidin-3-ylidene}(2,4-dimethyl-1,3-thiazol-5-yl)methanolate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(E)-{1-[2-(dimethylammonio)ethyl]-2-(2-fluorophenyl)-4,5-dioxopyrrolidin-3-ylidene}(2,4-dimethyl-1,3-thiazol-5-yl)methanolate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