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(E)-{1-[3-(dimethylammonio)propyl]-2-(2-methoxyphenyl)-4,5-dioxopyrrolidin-3-ylidene}(2,4-dimethyl-1,3-thiazol-5-yl)methanolate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(E)-{1-[3-(dimethylammonio)propyl]-2-(2-methoxyphenyl)-4,5-dioxopyrrolidin-3-ylidene}(2,4-dimethyl-1,3-thiazol-5-yl)methanolate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