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(E)-{1-[2-(dimethylammonio)ethyl]-2-(3-methoxy-4-propoxyphenyl)-4,5-dioxopyrrolidin-3-ylidene}(phenyl)methanolate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(E)-{1-[2-(dimethylammonio)ethyl]-2-(3-methoxy-4-propoxyphenyl)-4,5-dioxopyrrolidin-3-ylidene}(phenyl)methanolate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