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(5E)-1-[2-(cyclohex-1-en-1-yl)ethyl]-4,6-dioxo-5-({[3-(piperidinium-1-yl)propyl]amino}methylidene)-1,4,5,6-tetrahydropyrimidine-2-thiolate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(5E)-1-[2-(cyclohex-1-en-1-yl)ethyl]-4,6-dioxo-5-({[3-(piperidinium-1-yl)propyl]amino}methylidene)-1,4,5,6-tetrahydropyrimidine-2-thiolate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