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N-(3,4-dimethylphenyl)-2-{4-[(4,6-dioxo-1,3-diphenyl-2-thioxotetrahydropyrimidin-5(2H)-ylidene)methyl]phenoxy}acetamide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N-(3,4-dimethylphenyl)-2-{4-[(4,6-dioxo-1,3-diphenyl-2-thioxotetrahydropyrimidin-5(2H)-ylidene)methyl]phenoxy}acetamide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