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6-(4-methoxyphenyl)-2-{2-[4-(4-methoxyphenyl)piperazin-1-yl]-2-oxoethyl}-6,7-dihydro-3H-imidazo[5,1-c][1,2,4]triazole-3,5(2H)-dione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6-(4-methoxyphenyl)-2-{2-[4-(4-methoxyphenyl)piperazin-1-yl]-2-oxoethyl}-6,7-dihydro-3H-imidazo[5,1-c][1,2,4]triazole-3,5(2H)-dione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