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1-(6,7-dimethoxy-3,4-dihydroisoquinolin-2(1H)-yl)-2-[4-(1H-pyrrol-1-yl)tetrahydro-2H-pyran-4-yl]ethanone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1-(6,7-dimethoxy-3,4-dihydroisoquinolin-2(1H)-yl)-2-[4-(1H-pyrrol-1-yl)tetrahydro-2H-pyran-4-yl]ethanone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