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N'-[(E)-(4-methoxy-3-{2-[(1R,5R)-8-oxo-1,5,6,8-tetrahydro-2H-1,5-methanopyrido[1,2-a][1,5]diazocin-3(4H)-yl]ethyl}phenyl)methylidene]-2-[(1S,5S)-8-oxo-1,5,6,8-tetrahydro-2H-1,5-methanopyrido[1,2-a][1,5]diazocin-3(4H)-yl]acetohydrazide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N'-[(E)-(4-methoxy-3-{2-[(1R,5R)-8-oxo-1,5,6,8-tetrahydro-2H-1,5-methanopyrido[1,2-a][1,5]diazocin-3(4H)-yl]ethyl}phenyl)methylidene]-2-[(1S,5S)-8-oxo-1,5,6,8-tetrahydro-2H-1,5-methanopyrido[1,2-a][1,5]diazocin-3(4H)-yl]acetohydrazide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C34H40N6O4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596.73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