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6-hydroxy-5-(4-methoxy-6-methyl-5,6,7,8-tetrahydro[1,3]dioxolo[4,5-g]isoquinolin-6-ium-5-yl)-1-(3-methoxyphenyl)-4-oxo-1,4-dihydropyrimidine-2-thiolate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6-hydroxy-5-(4-methoxy-6-methyl-5,6,7,8-tetrahydro[1,3]dioxolo[4,5-g]isoquinolin-6-ium-5-yl)-1-(3-methoxyphenyl)-4-oxo-1,4-dihydropyrimidine-2-thiolate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