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6-{[(7S)-7-(acetylamino)-1,2,3-trimethoxy-9-oxo-5,6,7,9-tetrahydrobenzo[a]heptalen-10-yl]amino}-N-{3-[5-(methoxymethyl)-1H-1,2,4-triazol-3-yl]phenyl}hexanamide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6-{[(7S)-7-(acetylamino)-1,2,3-trimethoxy-9-oxo-5,6,7,9-tetrahydrobenzo[a]heptalen-10-yl]amino}-N-{3-[5-(methoxymethyl)-1H-1,2,4-triazol-3-yl]phenyl}hexanamide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C37H44N6O7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