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(4aS,6aS,6bR,10S,12aR)-(2R,3S,4S,5R,6S)-5-(((2R,3S,4R,5S)-5-((S)-1,2-dihydroxyethyl)-4-hydroxy-3-(((2R,3S,4R,5R,6S)-3,4,5-trihydroxy-6-(hydroxymethyl)tetrahydro-2H-pyran-2-yl)oxy)tetrahydrofuran-2-yl)oxy)-3,4-dihydroxy-6-(hydroxymethyl)tetrahydro-2H-pyra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(4aS,6aS,6bR,10S,12aR)-(2R,3S,4S,5R,6S)-5-(((2R,3S,4R,5S)-5-((S)-1,2-dihydroxyethyl)-4-hydroxy-3-(((2R,3S,4R,5R,6S)-3,4,5-trihydroxy-6-(hydroxymethyl)tetrahydro-2H-pyran-2-yl)oxy)tetrahydrofuran-2-yl)oxy)-3,4-dihydroxy-6-(hydroxymethyl)tetrahydro-2H-pyra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C65H106O31</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1383.54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